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2BFCB1D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232BBF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232BBF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79C50F3E" w:rsidR="0001175E" w:rsidRPr="00725A54" w:rsidRDefault="006858C4" w:rsidP="00D816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Комплекс работ по благоустройству территории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008A4FA2" w:rsidR="00C830D0" w:rsidRPr="00725A54" w:rsidRDefault="007856B4" w:rsidP="00232B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C830D0">
              <w:rPr>
                <w:b/>
                <w:sz w:val="22"/>
                <w:szCs w:val="22"/>
              </w:rPr>
              <w:t xml:space="preserve">№ </w:t>
            </w:r>
            <w:r w:rsidR="00232BBF">
              <w:rPr>
                <w:b/>
                <w:sz w:val="22"/>
                <w:szCs w:val="22"/>
              </w:rPr>
              <w:t xml:space="preserve">8 по ул. Титова в Ленинском </w:t>
            </w:r>
            <w:r w:rsidR="0098370C">
              <w:rPr>
                <w:b/>
                <w:sz w:val="22"/>
                <w:szCs w:val="22"/>
              </w:rPr>
              <w:t>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271030C5" w:rsidR="00C830D0" w:rsidRPr="00725A54" w:rsidRDefault="00232BBF" w:rsidP="00B10E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июн</w:t>
            </w:r>
            <w:r w:rsidR="00B46FB7">
              <w:rPr>
                <w:b/>
                <w:sz w:val="22"/>
                <w:szCs w:val="22"/>
              </w:rPr>
              <w:t>ь</w:t>
            </w:r>
            <w:r w:rsidR="00F40558">
              <w:rPr>
                <w:b/>
                <w:sz w:val="22"/>
                <w:szCs w:val="22"/>
              </w:rPr>
              <w:t>-октябрь</w:t>
            </w:r>
            <w:r w:rsidR="00B46FB7">
              <w:rPr>
                <w:b/>
                <w:sz w:val="22"/>
                <w:szCs w:val="22"/>
              </w:rPr>
              <w:t xml:space="preserve"> 2026</w:t>
            </w:r>
            <w:r w:rsidR="000064F3">
              <w:rPr>
                <w:b/>
                <w:sz w:val="22"/>
                <w:szCs w:val="22"/>
              </w:rPr>
              <w:t>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757AE7CF" w:rsidR="000B3926" w:rsidRPr="007856B4" w:rsidRDefault="000064F3" w:rsidP="00B10E56">
            <w:pPr>
              <w:rPr>
                <w:b/>
                <w:sz w:val="22"/>
                <w:szCs w:val="22"/>
              </w:rPr>
            </w:pPr>
            <w:r w:rsidRPr="000064F3">
              <w:rPr>
                <w:i/>
                <w:sz w:val="24"/>
              </w:rPr>
              <w:t>Оплата услуг Генподрядчика предусматривается в размере 1,5% от стоимости строительно-монтажных работ,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685143B" w14:textId="005DF934" w:rsidR="000064F3" w:rsidRPr="000064F3" w:rsidRDefault="000064F3" w:rsidP="000064F3">
            <w:pPr>
              <w:pStyle w:val="a5"/>
              <w:widowControl w:val="0"/>
              <w:rPr>
                <w:i/>
                <w:sz w:val="24"/>
              </w:rPr>
            </w:pPr>
            <w:r w:rsidRPr="000064F3">
              <w:rPr>
                <w:i/>
                <w:sz w:val="24"/>
              </w:rPr>
              <w:t xml:space="preserve">Генподрядчик резервирует 7% от стоимости выполненных </w:t>
            </w:r>
            <w:r>
              <w:rPr>
                <w:i/>
                <w:sz w:val="24"/>
              </w:rPr>
              <w:t>работ по договору (включая стоимость материалов)</w:t>
            </w:r>
            <w:r w:rsidRPr="000064F3">
              <w:rPr>
                <w:i/>
                <w:sz w:val="24"/>
              </w:rPr>
              <w:t>.</w:t>
            </w:r>
          </w:p>
          <w:p w14:paraId="5DCD7238" w14:textId="6479B52D" w:rsidR="000B3926" w:rsidRPr="00725A54" w:rsidRDefault="000064F3" w:rsidP="000064F3">
            <w:pPr>
              <w:rPr>
                <w:b/>
                <w:sz w:val="22"/>
                <w:szCs w:val="22"/>
              </w:rPr>
            </w:pPr>
            <w:r w:rsidRPr="000064F3">
              <w:rPr>
                <w:i/>
                <w:sz w:val="24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i/>
                <w:sz w:val="24"/>
              </w:rPr>
              <w:t>азрешения на ввод объекта в экс</w:t>
            </w:r>
            <w:r w:rsidRPr="000064F3">
              <w:rPr>
                <w:i/>
                <w:sz w:val="24"/>
              </w:rPr>
              <w:t>плуатацию, выплата оставшихся 2 % зарезервированной суммы производится Генп</w:t>
            </w:r>
            <w:bookmarkStart w:id="0" w:name="_GoBack"/>
            <w:bookmarkEnd w:id="0"/>
            <w:r w:rsidRPr="000064F3">
              <w:rPr>
                <w:i/>
                <w:sz w:val="24"/>
              </w:rPr>
              <w:t>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4B16D11A" w:rsidR="00FD74DC" w:rsidRPr="00FD74DC" w:rsidRDefault="00232BBF" w:rsidP="00232BBF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Сафронов Роман Сергеевич</w:t>
            </w:r>
            <w:r w:rsidR="00102764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ведущий инженер по техническому надзору</w:t>
            </w:r>
            <w:r w:rsidR="00102764">
              <w:rPr>
                <w:b/>
                <w:sz w:val="24"/>
              </w:rPr>
              <w:t xml:space="preserve">, тел. </w:t>
            </w:r>
            <w:r w:rsidRPr="00232BBF">
              <w:rPr>
                <w:b/>
                <w:sz w:val="24"/>
              </w:rPr>
              <w:t>8-923-174-64-64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5D3C99B0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 xml:space="preserve">готов заключить договор </w:t>
      </w:r>
      <w:r w:rsidR="00232BBF" w:rsidRPr="00232BBF">
        <w:rPr>
          <w:b/>
          <w:i/>
          <w:sz w:val="24"/>
          <w:szCs w:val="24"/>
        </w:rPr>
        <w:t>ООО СГ «</w:t>
      </w:r>
      <w:proofErr w:type="gramStart"/>
      <w:r w:rsidR="00232BBF" w:rsidRPr="00232BBF">
        <w:rPr>
          <w:b/>
          <w:i/>
          <w:sz w:val="24"/>
          <w:szCs w:val="24"/>
        </w:rPr>
        <w:t xml:space="preserve">Меридиан» </w:t>
      </w:r>
      <w:r w:rsidR="0098370C">
        <w:rPr>
          <w:b/>
          <w:i/>
          <w:color w:val="163386"/>
          <w:sz w:val="24"/>
          <w:szCs w:val="24"/>
        </w:rPr>
        <w:t xml:space="preserve"> </w:t>
      </w:r>
      <w:r w:rsidR="00D04278" w:rsidRPr="00725A54">
        <w:rPr>
          <w:b/>
          <w:i/>
          <w:sz w:val="24"/>
          <w:szCs w:val="24"/>
        </w:rPr>
        <w:t>со</w:t>
      </w:r>
      <w:proofErr w:type="gramEnd"/>
      <w:r w:rsidR="00D04278" w:rsidRPr="00725A54">
        <w:rPr>
          <w:b/>
          <w:i/>
          <w:sz w:val="24"/>
          <w:szCs w:val="24"/>
        </w:rPr>
        <w:t xml:space="preserve">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51D3E803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232BBF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232BBF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64F3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2764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32BBF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8C4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6FB7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7F9F"/>
    <w:rsid w:val="00F40558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42948-D41B-455A-84D7-D2A35AEA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194</TotalTime>
  <Pages>2</Pages>
  <Words>713</Words>
  <Characters>5177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5879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49</cp:revision>
  <cp:lastPrinted>2019-10-11T06:26:00Z</cp:lastPrinted>
  <dcterms:created xsi:type="dcterms:W3CDTF">2024-05-18T07:40:00Z</dcterms:created>
  <dcterms:modified xsi:type="dcterms:W3CDTF">2026-05-18T03:30:00Z</dcterms:modified>
</cp:coreProperties>
</file>